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A5B98">
      <w:pPr>
        <w:keepNext w:val="0"/>
        <w:keepLines w:val="0"/>
        <w:pageBreakBefore w:val="0"/>
        <w:widowControl w:val="0"/>
        <w:kinsoku/>
        <w:wordWrap/>
        <w:overflowPunct/>
        <w:topLinePunct w:val="0"/>
        <w:autoSpaceDE/>
        <w:autoSpaceDN/>
        <w:bidi w:val="0"/>
        <w:adjustRightInd/>
        <w:snapToGrid/>
        <w:spacing w:line="590" w:lineRule="exact"/>
        <w:ind w:left="3520" w:hanging="3520" w:hangingChars="800"/>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第六讲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甲状腺结节的超声评估、风险分层与基层管理策略</w:t>
      </w:r>
    </w:p>
    <w:p w14:paraId="1E3D08B5">
      <w:pPr>
        <w:keepNext w:val="0"/>
        <w:keepLines w:val="0"/>
        <w:pageBreakBefore w:val="0"/>
        <w:widowControl w:val="0"/>
        <w:kinsoku/>
        <w:wordWrap/>
        <w:overflowPunct/>
        <w:topLinePunct w:val="0"/>
        <w:autoSpaceDE/>
        <w:autoSpaceDN/>
        <w:bidi w:val="0"/>
        <w:adjustRightInd/>
        <w:snapToGrid/>
        <w:spacing w:line="590" w:lineRule="exact"/>
        <w:ind w:firstLine="1600" w:firstLineChars="5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福州大学附属省立医院超声科</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梁侠</w:t>
      </w:r>
      <w:r>
        <w:rPr>
          <w:rFonts w:hint="eastAsia" w:ascii="仿宋_GB2312" w:hAnsi="仿宋_GB2312" w:eastAsia="仿宋_GB2312" w:cs="仿宋_GB2312"/>
          <w:sz w:val="32"/>
          <w:szCs w:val="32"/>
        </w:rPr>
        <w:br w:type="textWrapping"/>
      </w:r>
    </w:p>
    <w:p w14:paraId="2B28D3F3">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甲状腺结节在人群中检出率极高，超声是其首选的影像学评估方法。面对海量的甲状腺结节，如何进行规范的超声检查、准确的风险分层并制定合理的临床管理策略，是基层医生面临的重要课题。本文系统阐述甲状腺结节的超声规范化扫查技术、基于国内外主流风险分层系统（如ACR TI-RADS、C-TIRADS）的征象解读与分类、细针穿刺活检（FNA）的适应证，以及基层随访管理策略。旨在提升基层医生对甲状腺结节的超声诊断能力、风险沟通水平与临床决策能力，实现精准诊断与避免过度医疗的平衡。</w:t>
      </w:r>
    </w:p>
    <w:p w14:paraId="73AB750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一、甲状腺结节超声评估的重要性与挑战</w:t>
      </w:r>
    </w:p>
    <w:p w14:paraId="13B50DB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状腺结节是指甲状腺内局部出现的、与周围组织回声不同的独立病灶。随着高分辨率超声的普及和健康体检的广泛开展，甲状腺结节的超声检出率高达20%-76%，其中绝大多数（约90%-95%）为良性。这一高检出率现象给临床带来了双重挑战：一方面，需要从大量结节中精准识别出少数具有恶性潜能的病灶；另一方面，要避免对大量良性结节进行不必要的侵入性检查（如穿刺）或过度治疗（如手术），减轻患者的身心负担与经济负担。</w:t>
      </w:r>
    </w:p>
    <w:p w14:paraId="23DB273A">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超声检查因其无创、实时、高分辨率、可重复、无辐射、成本相对较低等优势，成为甲状腺结节评估和随访无可争议的首选影像学方法。然而，超声诊断的准确性高度依赖于操作者的技术和认知水平。基层医生作为健康筛查和首诊的“守门人”，掌握一套规范化、系统化的甲状腺结节超声评估与风险管理流程至关重要。这不仅有助于早期发现甲状腺癌（尤其是具有侵袭性的类型），更能通过科学的风险分层，指导绝大多数良性结节的合理随访，优化医疗资源配置。</w:t>
      </w:r>
    </w:p>
    <w:p w14:paraId="0508D740">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文将从标准化扫查技术讲起，深入解读结节的超声恶性风险征象，介绍国际国内通用的风险分层系统及其应用，明确穿刺与手术的指征，并最终落脚于基层可行的长期管理策略，为基层医生提供一份“从图像到决策”的完整实战指南。</w:t>
      </w:r>
    </w:p>
    <w:p w14:paraId="09CFBF6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二、甲状腺超声规范化扫查技术与报告要素</w:t>
      </w:r>
    </w:p>
    <w:p w14:paraId="01EF7A77">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规范化的扫查是准确评估的基础。不标准的切面或遗漏的区域是导致误诊和漏诊的主要原因。</w:t>
      </w:r>
    </w:p>
    <w:p w14:paraId="5B39CDB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（一）设备与探头选择</w:t>
      </w:r>
    </w:p>
    <w:p w14:paraId="5396D9C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设备：</w:t>
      </w:r>
      <w:r>
        <w:rPr>
          <w:rFonts w:hint="eastAsia" w:ascii="仿宋_GB2312" w:hAnsi="仿宋_GB2312" w:eastAsia="仿宋_GB2312" w:cs="仿宋_GB2312"/>
          <w:sz w:val="32"/>
          <w:szCs w:val="32"/>
        </w:rPr>
        <w:t>配备高频线阵探头的高分辨率超声仪是基本要求。</w:t>
      </w:r>
    </w:p>
    <w:p w14:paraId="5D2E6DE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探头频率：</w:t>
      </w:r>
      <w:r>
        <w:rPr>
          <w:rFonts w:hint="eastAsia" w:ascii="仿宋_GB2312" w:hAnsi="仿宋_GB2312" w:eastAsia="仿宋_GB2312" w:cs="仿宋_GB2312"/>
          <w:sz w:val="32"/>
          <w:szCs w:val="32"/>
        </w:rPr>
        <w:t>首选频率范围7-15 MHz的高频线阵探头。对于颈部粗短或结节位置较深者，可临时切换至5-7 MHz以增加穿透力。</w:t>
      </w:r>
    </w:p>
    <w:p w14:paraId="593B2E5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预设条件：</w:t>
      </w:r>
      <w:r>
        <w:rPr>
          <w:rFonts w:hint="eastAsia" w:ascii="仿宋_GB2312" w:hAnsi="仿宋_GB2312" w:eastAsia="仿宋_GB2312" w:cs="仿宋_GB2312"/>
          <w:sz w:val="32"/>
          <w:szCs w:val="32"/>
        </w:rPr>
        <w:t>选择“甲状腺”或“小器官”预设，根据患者情况微调深度、增益及焦点位置，确保甲状腺位于图像中上1/3区域，前后包膜清晰显示。</w:t>
      </w:r>
    </w:p>
    <w:p w14:paraId="4E6E211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（二）患者体位与检查前准备</w:t>
      </w:r>
    </w:p>
    <w:p w14:paraId="71F75201">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体位</w:t>
      </w:r>
      <w:r>
        <w:rPr>
          <w:rFonts w:hint="eastAsia" w:ascii="仿宋_GB2312" w:hAnsi="仿宋_GB2312" w:eastAsia="仿宋_GB2312" w:cs="仿宋_GB2312"/>
          <w:sz w:val="32"/>
          <w:szCs w:val="32"/>
        </w:rPr>
        <w:t>：患者取仰卧位，颈后垫一矮枕，使头颈部充分后仰，充分暴露颈前区。</w:t>
      </w:r>
    </w:p>
    <w:p w14:paraId="3811DF7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准备：</w:t>
      </w:r>
      <w:r>
        <w:rPr>
          <w:rFonts w:hint="eastAsia" w:ascii="仿宋_GB2312" w:hAnsi="仿宋_GB2312" w:eastAsia="仿宋_GB2312" w:cs="仿宋_GB2312"/>
          <w:sz w:val="32"/>
          <w:szCs w:val="32"/>
        </w:rPr>
        <w:t>无需特殊准备。询问病史时应重点关注：头颈部放射史、甲状腺癌家族史、声音嘶哑、吞咽或呼吸困难、结节生长速度等。</w:t>
      </w:r>
    </w:p>
    <w:p w14:paraId="20B759E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（三）标准化扫查流程</w:t>
      </w:r>
    </w:p>
    <w:p w14:paraId="35010C8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横切面系统性扫查：</w:t>
      </w:r>
      <w:r>
        <w:rPr>
          <w:rFonts w:hint="eastAsia" w:ascii="仿宋_GB2312" w:hAnsi="仿宋_GB2312" w:eastAsia="仿宋_GB2312" w:cs="仿宋_GB2312"/>
          <w:sz w:val="32"/>
          <w:szCs w:val="32"/>
        </w:rPr>
        <w:t>探头横向置于颈前，从上向下（从舌骨水平至胸骨上切迹）做连续滑动扫查，完整显示甲状腺左、右叶及峡部横断面。此切面用于评估甲状腺整体形态、大小、回声背景，并初步发现结节。</w:t>
      </w:r>
    </w:p>
    <w:p w14:paraId="044A321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纵切面系统性扫查：</w:t>
      </w:r>
      <w:r>
        <w:rPr>
          <w:rFonts w:hint="eastAsia" w:ascii="仿宋_GB2312" w:hAnsi="仿宋_GB2312" w:eastAsia="仿宋_GB2312" w:cs="仿宋_GB2312"/>
          <w:sz w:val="32"/>
          <w:szCs w:val="32"/>
        </w:rPr>
        <w:t>探头纵向分别置于甲状腺左、右叶及峡部，从外侧向内侧做连续滑动扫查。此切面用于测量腺叶大小（长、宽、厚径），并进一步确认结节的存在及其上下径。</w:t>
      </w:r>
    </w:p>
    <w:p w14:paraId="2D708C2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重点结节详查：</w:t>
      </w:r>
      <w:r>
        <w:rPr>
          <w:rFonts w:hint="eastAsia" w:ascii="仿宋_GB2312" w:hAnsi="仿宋_GB2312" w:eastAsia="仿宋_GB2312" w:cs="仿宋_GB2312"/>
          <w:sz w:val="32"/>
          <w:szCs w:val="32"/>
        </w:rPr>
        <w:t>对发现的每一个结节，进行多切面（横、纵、斜）静态观察，评估并记录其所有声像图特征（详见第三节）。</w:t>
      </w:r>
    </w:p>
    <w:p w14:paraId="51BD67F1">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颈部淋巴结评估：</w:t>
      </w:r>
      <w:r>
        <w:rPr>
          <w:rFonts w:hint="eastAsia" w:ascii="仿宋_GB2312" w:hAnsi="仿宋_GB2312" w:eastAsia="仿宋_GB2312" w:cs="仿宋_GB2312"/>
          <w:sz w:val="32"/>
          <w:szCs w:val="32"/>
        </w:rPr>
        <w:t>这是甲状腺癌评估中不可或缺的一环！必须常规扫查甲状腺引流区域，包括：颈中央区（VI区）、双侧颈侧区（II、III、IV、V区）。重点观察淋巴结形态、皮髓质结构、有无微钙化、囊性变及异常血流。</w:t>
      </w:r>
    </w:p>
    <w:p w14:paraId="6A49761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彩色多普勒血流成像（CDFI）</w:t>
      </w:r>
      <w:r>
        <w:rPr>
          <w:rFonts w:hint="eastAsia" w:ascii="仿宋_GB2312" w:hAnsi="仿宋_GB2312" w:eastAsia="仿宋_GB2312" w:cs="仿宋_GB2312"/>
          <w:sz w:val="32"/>
          <w:szCs w:val="32"/>
        </w:rPr>
        <w:t>：评估甲状腺整体血流分布（弥漫性增常见于甲亢、桥本氏甲状腺炎）及结节内部与周边的血流模式。</w:t>
      </w:r>
    </w:p>
    <w:p w14:paraId="1F4465F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（四）超声报告规范</w:t>
      </w:r>
    </w:p>
    <w:p w14:paraId="1E096AA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一份规范的超声报告应结构清晰，包含以下</w:t>
      </w:r>
      <w:r>
        <w:rPr>
          <w:rFonts w:hint="eastAsia" w:ascii="仿宋_GB2312" w:hAnsi="仿宋_GB2312" w:eastAsia="仿宋_GB2312" w:cs="仿宋_GB2312"/>
          <w:b/>
          <w:bCs/>
          <w:sz w:val="32"/>
          <w:szCs w:val="32"/>
        </w:rPr>
        <w:t>要素</w:t>
      </w:r>
      <w:r>
        <w:rPr>
          <w:rFonts w:hint="eastAsia" w:ascii="仿宋_GB2312" w:hAnsi="仿宋_GB2312" w:eastAsia="仿宋_GB2312" w:cs="仿宋_GB2312"/>
          <w:sz w:val="32"/>
          <w:szCs w:val="32"/>
        </w:rPr>
        <w:t>：</w:t>
      </w:r>
    </w:p>
    <w:p w14:paraId="6A4CACE1">
      <w:pPr>
        <w:pStyle w:val="30"/>
        <w:keepNext w:val="0"/>
        <w:keepLines w:val="0"/>
        <w:pageBreakBefore w:val="0"/>
        <w:widowControl w:val="0"/>
        <w:numPr>
          <w:ilvl w:val="0"/>
          <w:numId w:val="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患者基本信息与临床诉求。</w:t>
      </w:r>
    </w:p>
    <w:p w14:paraId="1A912063">
      <w:pPr>
        <w:pStyle w:val="30"/>
        <w:keepNext w:val="0"/>
        <w:keepLines w:val="0"/>
        <w:pageBreakBefore w:val="0"/>
        <w:widowControl w:val="0"/>
        <w:numPr>
          <w:ilvl w:val="0"/>
          <w:numId w:val="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检查技术描述。</w:t>
      </w:r>
    </w:p>
    <w:p w14:paraId="4C9437FA">
      <w:pPr>
        <w:pStyle w:val="30"/>
        <w:keepNext w:val="0"/>
        <w:keepLines w:val="0"/>
        <w:pageBreakBefore w:val="0"/>
        <w:widowControl w:val="0"/>
        <w:numPr>
          <w:ilvl w:val="0"/>
          <w:numId w:val="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甲状腺实质背景描述：大小、形态、包膜、回声是否均匀。</w:t>
      </w:r>
    </w:p>
    <w:p w14:paraId="6D344CA2">
      <w:pPr>
        <w:pStyle w:val="30"/>
        <w:keepNext w:val="0"/>
        <w:keepLines w:val="0"/>
        <w:pageBreakBefore w:val="0"/>
        <w:widowControl w:val="0"/>
        <w:numPr>
          <w:ilvl w:val="0"/>
          <w:numId w:val="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结节描述（按风险高低或大小顺序）：对每个≥1cm或有可疑特征的结节，应详细描述其位置、大小（三个径线）、成分、回声、形态、边缘、强回声灶（钙化）等。</w:t>
      </w:r>
    </w:p>
    <w:p w14:paraId="0A6CC264">
      <w:pPr>
        <w:pStyle w:val="30"/>
        <w:keepNext w:val="0"/>
        <w:keepLines w:val="0"/>
        <w:pageBreakBefore w:val="0"/>
        <w:widowControl w:val="0"/>
        <w:numPr>
          <w:ilvl w:val="0"/>
          <w:numId w:val="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颈部淋巴结情况。</w:t>
      </w:r>
    </w:p>
    <w:p w14:paraId="096A1A39">
      <w:pPr>
        <w:pStyle w:val="30"/>
        <w:keepNext w:val="0"/>
        <w:keepLines w:val="0"/>
        <w:pageBreakBefore w:val="0"/>
        <w:widowControl w:val="0"/>
        <w:numPr>
          <w:ilvl w:val="0"/>
          <w:numId w:val="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超声诊断/印象：给出每个结节的TI-RADS分类或风险等级建议，并对淋巴结性质进行描述。</w:t>
      </w:r>
    </w:p>
    <w:p w14:paraId="23319608">
      <w:pPr>
        <w:pStyle w:val="30"/>
        <w:keepNext w:val="0"/>
        <w:keepLines w:val="0"/>
        <w:pageBreakBefore w:val="0"/>
        <w:widowControl w:val="0"/>
        <w:numPr>
          <w:ilvl w:val="0"/>
          <w:numId w:val="1"/>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建议：根据分类给出明确的下一步建议（如“常规年度随访”、“6-12个月随访”、“FNA”或“外科会诊”）。</w:t>
      </w:r>
    </w:p>
    <w:p w14:paraId="64B1D27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三、甲状腺结节的超声恶性风险征象深度解读</w:t>
      </w:r>
    </w:p>
    <w:p w14:paraId="14E35521">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对单个结节声像图特征的准确识别是进行风险分层的前提。以下对核心恶性征象进行详细解读。</w:t>
      </w:r>
    </w:p>
    <w:p w14:paraId="7045942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（一）成分</w:t>
      </w:r>
    </w:p>
    <w:p w14:paraId="38525D3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实性：</w:t>
      </w:r>
      <w:r>
        <w:rPr>
          <w:rFonts w:hint="eastAsia" w:ascii="仿宋_GB2312" w:hAnsi="仿宋_GB2312" w:eastAsia="仿宋_GB2312" w:cs="仿宋_GB2312"/>
          <w:sz w:val="32"/>
          <w:szCs w:val="32"/>
        </w:rPr>
        <w:t>结节完全或绝大部分（&gt;90%）为实性组织。恶性风险显著高于囊性或囊实混合性结节。大多数甲状腺癌（如乳头状癌、髓样癌）表现为实性。</w:t>
      </w:r>
    </w:p>
    <w:p w14:paraId="4ACFAD6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囊实混合性：</w:t>
      </w:r>
      <w:r>
        <w:rPr>
          <w:rFonts w:hint="eastAsia" w:ascii="仿宋_GB2312" w:hAnsi="仿宋_GB2312" w:eastAsia="仿宋_GB2312" w:cs="仿宋_GB2312"/>
          <w:sz w:val="32"/>
          <w:szCs w:val="32"/>
        </w:rPr>
        <w:t>结节内同时包含实性和囊性成分。风险取决于实性部分的特征。若实性部分呈偏心性、形态不规则或有微钙化，则风险增高。单纯的海绵状结节（由大量微小囊腔构成）则多为良性。</w:t>
      </w:r>
    </w:p>
    <w:p w14:paraId="1C3B08E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囊性：</w:t>
      </w:r>
      <w:r>
        <w:rPr>
          <w:rFonts w:hint="eastAsia" w:ascii="仿宋_GB2312" w:hAnsi="仿宋_GB2312" w:eastAsia="仿宋_GB2312" w:cs="仿宋_GB2312"/>
          <w:sz w:val="32"/>
          <w:szCs w:val="32"/>
        </w:rPr>
        <w:t>几乎完全为液性。单纯囊肿恶性风险极低。</w:t>
      </w:r>
    </w:p>
    <w:p w14:paraId="1FD1554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（二）回声</w:t>
      </w:r>
    </w:p>
    <w:p w14:paraId="3CC0F941">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极低回声：</w:t>
      </w:r>
      <w:r>
        <w:rPr>
          <w:rFonts w:hint="eastAsia" w:ascii="仿宋_GB2312" w:hAnsi="仿宋_GB2312" w:eastAsia="仿宋_GB2312" w:cs="仿宋_GB2312"/>
          <w:sz w:val="32"/>
          <w:szCs w:val="32"/>
        </w:rPr>
        <w:t>回声低于颈前带状肌。这是乳头状癌的一个非常特征性的表现，特异性高。</w:t>
      </w:r>
    </w:p>
    <w:p w14:paraId="52270D8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低回声：</w:t>
      </w:r>
      <w:r>
        <w:rPr>
          <w:rFonts w:hint="eastAsia" w:ascii="仿宋_GB2312" w:hAnsi="仿宋_GB2312" w:eastAsia="仿宋_GB2312" w:cs="仿宋_GB2312"/>
          <w:sz w:val="32"/>
          <w:szCs w:val="32"/>
        </w:rPr>
        <w:t>回声低于正常甲状腺实质，但高于带状肌。是恶性结节的常见表现，但特异性不如极低回声。</w:t>
      </w:r>
    </w:p>
    <w:p w14:paraId="3F3DCE01">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等回声/高回声：</w:t>
      </w:r>
      <w:r>
        <w:rPr>
          <w:rFonts w:hint="eastAsia" w:ascii="仿宋_GB2312" w:hAnsi="仿宋_GB2312" w:eastAsia="仿宋_GB2312" w:cs="仿宋_GB2312"/>
          <w:sz w:val="32"/>
          <w:szCs w:val="32"/>
        </w:rPr>
        <w:t>回声等于或高于正常甲状腺实质。多见于良性结节（如腺瘤），但少数滤泡癌可表现为等或高回声。</w:t>
      </w:r>
    </w:p>
    <w:p w14:paraId="4114C26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（三）形态</w:t>
      </w:r>
    </w:p>
    <w:p w14:paraId="54737CB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纵横比 &gt; 1（直立状生长）：</w:t>
      </w:r>
      <w:r>
        <w:rPr>
          <w:rFonts w:hint="eastAsia" w:ascii="仿宋_GB2312" w:hAnsi="仿宋_GB2312" w:eastAsia="仿宋_GB2312" w:cs="仿宋_GB2312"/>
          <w:sz w:val="32"/>
          <w:szCs w:val="32"/>
        </w:rPr>
        <w:t>在横切面上测量，结节的前后径大于左右径，即“ taller than wide ”。此征象提示结节呈膨胀性、侵袭性生长，是高度可疑的恶性征象。</w:t>
      </w:r>
    </w:p>
    <w:p w14:paraId="6D83EC9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纵横比 ≤ 1（宽扁状生长）：</w:t>
      </w:r>
      <w:r>
        <w:rPr>
          <w:rFonts w:hint="eastAsia" w:ascii="仿宋_GB2312" w:hAnsi="仿宋_GB2312" w:eastAsia="仿宋_GB2312" w:cs="仿宋_GB2312"/>
          <w:sz w:val="32"/>
          <w:szCs w:val="32"/>
        </w:rPr>
        <w:t>多见于良性增生性结节。</w:t>
      </w:r>
    </w:p>
    <w:p w14:paraId="7917551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（四）边缘</w:t>
      </w:r>
    </w:p>
    <w:p w14:paraId="0F2801B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不规则（浸润性、分叶状或毛刺状）：</w:t>
      </w:r>
      <w:r>
        <w:rPr>
          <w:rFonts w:hint="eastAsia" w:ascii="仿宋_GB2312" w:hAnsi="仿宋_GB2312" w:eastAsia="仿宋_GB2312" w:cs="仿宋_GB2312"/>
          <w:sz w:val="32"/>
          <w:szCs w:val="32"/>
        </w:rPr>
        <w:t>结节边界不清，呈蟹足样向周围甲状腺组织浸润。是明确的恶性征象。</w:t>
      </w:r>
    </w:p>
    <w:p w14:paraId="0CD773E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光滑：</w:t>
      </w:r>
      <w:r>
        <w:rPr>
          <w:rFonts w:hint="eastAsia" w:ascii="仿宋_GB2312" w:hAnsi="仿宋_GB2312" w:eastAsia="仿宋_GB2312" w:cs="仿宋_GB2312"/>
          <w:sz w:val="32"/>
          <w:szCs w:val="32"/>
        </w:rPr>
        <w:t>边界清晰光滑，多见于良性结节或包裹性良好的滤泡性肿瘤。</w:t>
      </w:r>
    </w:p>
    <w:p w14:paraId="4086EA6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（五）强回声灶（钙化）</w:t>
      </w:r>
    </w:p>
    <w:p w14:paraId="12DBE1D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微钙化：</w:t>
      </w:r>
      <w:r>
        <w:rPr>
          <w:rFonts w:hint="eastAsia" w:ascii="仿宋_GB2312" w:hAnsi="仿宋_GB2312" w:eastAsia="仿宋_GB2312" w:cs="仿宋_GB2312"/>
          <w:sz w:val="32"/>
          <w:szCs w:val="32"/>
        </w:rPr>
        <w:t>点状强回声，直径≤1mm，后方可伴或不伴声影。病理上多为砂粒体，与乳头状癌高度相关，是特异性最高的恶性征象之一。</w:t>
      </w:r>
    </w:p>
    <w:p w14:paraId="1874B0B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粗大钙化：</w:t>
      </w:r>
      <w:r>
        <w:rPr>
          <w:rFonts w:hint="eastAsia" w:ascii="仿宋_GB2312" w:hAnsi="仿宋_GB2312" w:eastAsia="仿宋_GB2312" w:cs="仿宋_GB2312"/>
          <w:sz w:val="32"/>
          <w:szCs w:val="32"/>
        </w:rPr>
        <w:t>斑块状或弧形强回声，后方常伴明显声影。多见于长期存在的良性结节或结节性甲状腺肿的退化性改变。</w:t>
      </w:r>
    </w:p>
    <w:p w14:paraId="2968993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周边（蛋壳样）钙化</w:t>
      </w:r>
      <w:r>
        <w:rPr>
          <w:rFonts w:hint="eastAsia" w:ascii="仿宋_GB2312" w:hAnsi="仿宋_GB2312" w:eastAsia="仿宋_GB2312" w:cs="仿宋_GB2312"/>
          <w:sz w:val="32"/>
          <w:szCs w:val="32"/>
        </w:rPr>
        <w:t>：环绕结节周边的连续性或间断性强回声环。完整的薄环多为良性；若环厚、不规则、中断，尤其在中断处伴有软组织结节突出，则恶性风险增高。</w:t>
      </w:r>
    </w:p>
    <w:p w14:paraId="04BF494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四、主流风险分层系统（TI-RADS）应用指南</w:t>
      </w:r>
    </w:p>
    <w:p w14:paraId="396A6B0E">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为了标准化报告并指导临床决策，多个学术组织推出了甲状腺影像报告与数据系统。本文重点介绍应用最广泛的ACR TI-RADS和中国的C-TIRADS。</w:t>
      </w:r>
    </w:p>
    <w:p w14:paraId="4299B82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（一）ACR TI-RADS（美国放射学会）</w:t>
      </w:r>
    </w:p>
    <w:p w14:paraId="1E3A6F4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采用计分制，根据五大特征（成分、回声、形态、边缘、强回声灶）进行评分，根据总分将结节分为5类：</w:t>
      </w:r>
    </w:p>
    <w:p w14:paraId="42CB0E91">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TR1（良性）：</w:t>
      </w:r>
      <w:r>
        <w:rPr>
          <w:rFonts w:hint="eastAsia" w:ascii="仿宋_GB2312" w:hAnsi="仿宋_GB2312" w:eastAsia="仿宋_GB2312" w:cs="仿宋_GB2312"/>
          <w:sz w:val="32"/>
          <w:szCs w:val="32"/>
        </w:rPr>
        <w:t>0分。建议无需FNA，常规随访。</w:t>
      </w:r>
    </w:p>
    <w:p w14:paraId="02FAB77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TR2（无可疑特征）</w:t>
      </w:r>
      <w:r>
        <w:rPr>
          <w:rFonts w:hint="eastAsia" w:ascii="仿宋_GB2312" w:hAnsi="仿宋_GB2312" w:eastAsia="仿宋_GB2312" w:cs="仿宋_GB2312"/>
          <w:sz w:val="32"/>
          <w:szCs w:val="32"/>
        </w:rPr>
        <w:t>：2分。建议无需FNA，常规随访。</w:t>
      </w:r>
    </w:p>
    <w:p w14:paraId="675DA54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TR3（轻度可疑）：</w:t>
      </w:r>
      <w:r>
        <w:rPr>
          <w:rFonts w:hint="eastAsia" w:ascii="仿宋_GB2312" w:hAnsi="仿宋_GB2312" w:eastAsia="仿宋_GB2312" w:cs="仿宋_GB2312"/>
          <w:sz w:val="32"/>
          <w:szCs w:val="32"/>
        </w:rPr>
        <w:t>3分。≥2.5cm建议FNA。</w:t>
      </w:r>
    </w:p>
    <w:p w14:paraId="0E99719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TR4（中度可疑）：</w:t>
      </w:r>
      <w:r>
        <w:rPr>
          <w:rFonts w:hint="eastAsia" w:ascii="仿宋_GB2312" w:hAnsi="仿宋_GB2312" w:eastAsia="仿宋_GB2312" w:cs="仿宋_GB2312"/>
          <w:sz w:val="32"/>
          <w:szCs w:val="32"/>
        </w:rPr>
        <w:t>4-6分。≥1.5cm建议FNA。</w:t>
      </w:r>
    </w:p>
    <w:p w14:paraId="2FA7FA4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TR5（高度可疑）</w:t>
      </w:r>
      <w:r>
        <w:rPr>
          <w:rFonts w:hint="eastAsia" w:ascii="仿宋_GB2312" w:hAnsi="仿宋_GB2312" w:eastAsia="仿宋_GB2312" w:cs="仿宋_GB2312"/>
          <w:sz w:val="32"/>
          <w:szCs w:val="32"/>
        </w:rPr>
        <w:t>：≥7分。≥1.0cm建议FNA。</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b/>
          <w:bCs/>
          <w:sz w:val="32"/>
          <w:szCs w:val="32"/>
        </w:rPr>
        <w:t>优点：</w:t>
      </w:r>
      <w:r>
        <w:rPr>
          <w:rFonts w:hint="eastAsia" w:ascii="仿宋_GB2312" w:hAnsi="仿宋_GB2312" w:eastAsia="仿宋_GB2312" w:cs="仿宋_GB2312"/>
          <w:sz w:val="32"/>
          <w:szCs w:val="32"/>
        </w:rPr>
        <w:t>量化、客观，减少了主观差异。基层应用提示：可借助在线计算器或手机APP辅助评分，确保一致性。</w:t>
      </w:r>
    </w:p>
    <w:p w14:paraId="5A38A39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（二）C-TIRADS（中华医学会超声医学分会）</w:t>
      </w:r>
    </w:p>
    <w:p w14:paraId="49E8F47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更简洁，主要依据恶性征象的数量进行分类：</w:t>
      </w:r>
    </w:p>
    <w:p w14:paraId="08F6F81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C-TIRADS 3类（可能良性）</w:t>
      </w:r>
      <w:r>
        <w:rPr>
          <w:rFonts w:hint="eastAsia" w:ascii="仿宋_GB2312" w:hAnsi="仿宋_GB2312" w:eastAsia="仿宋_GB2312" w:cs="仿宋_GB2312"/>
          <w:sz w:val="32"/>
          <w:szCs w:val="32"/>
        </w:rPr>
        <w:t>：无任何恶性征象（如实性、低回声/极低回声、纵横比&gt;1、边缘不规则、微钙化）。建议随访。</w:t>
      </w:r>
    </w:p>
    <w:p w14:paraId="0599083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C-TIRADS 4A类（低度可疑）</w:t>
      </w:r>
      <w:r>
        <w:rPr>
          <w:rFonts w:hint="eastAsia" w:ascii="仿宋_GB2312" w:hAnsi="仿宋_GB2312" w:eastAsia="仿宋_GB2312" w:cs="仿宋_GB2312"/>
          <w:sz w:val="32"/>
          <w:szCs w:val="32"/>
        </w:rPr>
        <w:t>：具有1项恶性征象。FNA指征较宽松（通常≥1.5cm）。</w:t>
      </w:r>
    </w:p>
    <w:p w14:paraId="5ADCE8B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C-TIRADS 4B类（中度可疑）</w:t>
      </w:r>
      <w:r>
        <w:rPr>
          <w:rFonts w:hint="eastAsia" w:ascii="仿宋_GB2312" w:hAnsi="仿宋_GB2312" w:eastAsia="仿宋_GB2312" w:cs="仿宋_GB2312"/>
          <w:sz w:val="32"/>
          <w:szCs w:val="32"/>
        </w:rPr>
        <w:t>：具有2项恶性征象。FNA指征（通常≥1.0cm）。</w:t>
      </w:r>
    </w:p>
    <w:p w14:paraId="67D994C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C-TIRADS 4C类（高度可疑）</w:t>
      </w:r>
      <w:r>
        <w:rPr>
          <w:rFonts w:hint="eastAsia" w:ascii="仿宋_GB2312" w:hAnsi="仿宋_GB2312" w:eastAsia="仿宋_GB2312" w:cs="仿宋_GB2312"/>
          <w:sz w:val="32"/>
          <w:szCs w:val="32"/>
        </w:rPr>
        <w:t>：具有3或4项恶性征象。FNA指征（通常≥0.5-1.0cm）。</w:t>
      </w:r>
    </w:p>
    <w:p w14:paraId="212E0C6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C-TIRADS 5类（高度提示恶性）</w:t>
      </w:r>
      <w:r>
        <w:rPr>
          <w:rFonts w:hint="eastAsia" w:ascii="仿宋_GB2312" w:hAnsi="仿宋_GB2312" w:eastAsia="仿宋_GB2312" w:cs="仿宋_GB2312"/>
          <w:sz w:val="32"/>
          <w:szCs w:val="32"/>
        </w:rPr>
        <w:t>：具有5项恶性征象。建议FNA或直接手术。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b/>
          <w:bCs/>
          <w:sz w:val="32"/>
          <w:szCs w:val="32"/>
        </w:rPr>
        <w:t>优点：</w:t>
      </w:r>
      <w:r>
        <w:rPr>
          <w:rFonts w:hint="eastAsia" w:ascii="仿宋_GB2312" w:hAnsi="仿宋_GB2312" w:eastAsia="仿宋_GB2312" w:cs="仿宋_GB2312"/>
          <w:sz w:val="32"/>
          <w:szCs w:val="32"/>
        </w:rPr>
        <w:t>更符合中国医生思维习惯，记忆负担小。</w:t>
      </w:r>
    </w:p>
    <w:p w14:paraId="7E9FCC3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（三）系统选择与注意事项</w:t>
      </w:r>
    </w:p>
    <w:p w14:paraId="536B897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统一性：</w:t>
      </w:r>
      <w:r>
        <w:rPr>
          <w:rFonts w:hint="eastAsia" w:ascii="仿宋_GB2312" w:hAnsi="仿宋_GB2312" w:eastAsia="仿宋_GB2312" w:cs="仿宋_GB2312"/>
          <w:sz w:val="32"/>
          <w:szCs w:val="32"/>
        </w:rPr>
        <w:t>在同一医疗机构内部，建议统一使用一种系统，以利随访对比和临床沟通。</w:t>
      </w:r>
    </w:p>
    <w:p w14:paraId="5F86834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不是唯一标准：</w:t>
      </w:r>
      <w:r>
        <w:rPr>
          <w:rFonts w:hint="eastAsia" w:ascii="仿宋_GB2312" w:hAnsi="仿宋_GB2312" w:eastAsia="仿宋_GB2312" w:cs="仿宋_GB2312"/>
          <w:sz w:val="32"/>
          <w:szCs w:val="32"/>
        </w:rPr>
        <w:t>TI-RADS分类是重要的决策辅助工具，但不能完全替代临床判断。需结合患者年龄、性别、家族史、放射史、结节生长速度等综合考量。</w:t>
      </w:r>
    </w:p>
    <w:p w14:paraId="6EBABD8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特殊结节：</w:t>
      </w:r>
      <w:r>
        <w:rPr>
          <w:rFonts w:hint="eastAsia" w:ascii="仿宋_GB2312" w:hAnsi="仿宋_GB2312" w:eastAsia="仿宋_GB2312" w:cs="仿宋_GB2312"/>
          <w:sz w:val="32"/>
          <w:szCs w:val="32"/>
        </w:rPr>
        <w:t>对于完全囊性、海绵状结节，通常可直接归为良性类别（如ACR TR1/2）。</w:t>
      </w:r>
    </w:p>
    <w:p w14:paraId="1C6AADF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五、细针穿刺活检（FNA）适应证与基层转诊时机</w:t>
      </w:r>
    </w:p>
    <w:p w14:paraId="43A0C328">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FNA是术前鉴别结节良恶性的金标准。基层医生的核心任务是准确识别需要转诊进行FNA的病例。</w:t>
      </w:r>
    </w:p>
    <w:p w14:paraId="096BBAF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（一）明确FNA适应证（基于超声特征与大小）</w:t>
      </w:r>
    </w:p>
    <w:p w14:paraId="04F12D2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综合ACR TI-RADS和国内外指南，以下情况应考虑转诊至有条件医院行FNA：</w:t>
      </w:r>
    </w:p>
    <w:p w14:paraId="335D7E84">
      <w:pPr>
        <w:pStyle w:val="30"/>
        <w:keepNext w:val="0"/>
        <w:keepLines w:val="0"/>
        <w:pageBreakBefore w:val="0"/>
        <w:widowControl w:val="0"/>
        <w:numPr>
          <w:ilvl w:val="0"/>
          <w:numId w:val="2"/>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任何大小的结节，具有明确的恶性超声特征（如明确的微钙化、极低回声伴纵横比&gt;1、边缘浸润），无论TI-RADS分类如何。</w:t>
      </w:r>
    </w:p>
    <w:p w14:paraId="24CB6FE3">
      <w:pPr>
        <w:pStyle w:val="30"/>
        <w:keepNext w:val="0"/>
        <w:keepLines w:val="0"/>
        <w:pageBreakBefore w:val="0"/>
        <w:widowControl w:val="0"/>
        <w:numPr>
          <w:ilvl w:val="0"/>
          <w:numId w:val="2"/>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TI-RADS 4类及以上结节，达到指定大小阈值（如前文所述，如TR5 ≥1.0cm， TR4 ≥1.5cm）。</w:t>
      </w:r>
    </w:p>
    <w:p w14:paraId="2B901A74">
      <w:pPr>
        <w:pStyle w:val="30"/>
        <w:keepNext w:val="0"/>
        <w:keepLines w:val="0"/>
        <w:pageBreakBefore w:val="0"/>
        <w:widowControl w:val="0"/>
        <w:numPr>
          <w:ilvl w:val="0"/>
          <w:numId w:val="2"/>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结节在随访中体积显著增大（体积增加&gt;50%或至少两个径线增加&gt;20%），且实性成分增加。</w:t>
      </w:r>
    </w:p>
    <w:p w14:paraId="52539674">
      <w:pPr>
        <w:pStyle w:val="30"/>
        <w:keepNext w:val="0"/>
        <w:keepLines w:val="0"/>
        <w:pageBreakBefore w:val="0"/>
        <w:widowControl w:val="0"/>
        <w:numPr>
          <w:ilvl w:val="0"/>
          <w:numId w:val="2"/>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出现可疑颈部转移性淋巴结，即使甲状腺原发灶不明显或很小。</w:t>
      </w:r>
    </w:p>
    <w:p w14:paraId="6BBFB07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（二）不推荐或无需FNA的情况</w:t>
      </w:r>
    </w:p>
    <w:p w14:paraId="33E19448">
      <w:pPr>
        <w:pStyle w:val="30"/>
        <w:keepNext w:val="0"/>
        <w:keepLines w:val="0"/>
        <w:pageBreakBefore w:val="0"/>
        <w:widowControl w:val="0"/>
        <w:numPr>
          <w:ilvl w:val="0"/>
          <w:numId w:val="3"/>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超声表现为纯囊性或典型海绵状结节。</w:t>
      </w:r>
    </w:p>
    <w:p w14:paraId="700259E8">
      <w:pPr>
        <w:pStyle w:val="30"/>
        <w:keepNext w:val="0"/>
        <w:keepLines w:val="0"/>
        <w:pageBreakBefore w:val="0"/>
        <w:widowControl w:val="0"/>
        <w:numPr>
          <w:ilvl w:val="0"/>
          <w:numId w:val="3"/>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TI-RADS 1-2类的结节。</w:t>
      </w:r>
    </w:p>
    <w:p w14:paraId="25400BA0">
      <w:pPr>
        <w:pStyle w:val="30"/>
        <w:keepNext w:val="0"/>
        <w:keepLines w:val="0"/>
        <w:pageBreakBefore w:val="0"/>
        <w:widowControl w:val="0"/>
        <w:numPr>
          <w:ilvl w:val="0"/>
          <w:numId w:val="3"/>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多发性结节，若无突出可疑者，不对所有结节穿刺，仅针对最具可疑特征的结节。</w:t>
      </w:r>
    </w:p>
    <w:p w14:paraId="250AB3CC">
      <w:pPr>
        <w:pStyle w:val="30"/>
        <w:keepNext w:val="0"/>
        <w:keepLines w:val="0"/>
        <w:pageBreakBefore w:val="0"/>
        <w:widowControl w:val="0"/>
        <w:numPr>
          <w:ilvl w:val="0"/>
          <w:numId w:val="3"/>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弥漫性病变（如桥本氏甲状腺炎）背景下的无数微小结节，无主导可疑病灶。</w:t>
      </w:r>
    </w:p>
    <w:p w14:paraId="26A0553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（三）基层转诊策略</w:t>
      </w:r>
    </w:p>
    <w:p w14:paraId="6FF1794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建立绿色通道：</w:t>
      </w:r>
      <w:r>
        <w:rPr>
          <w:rFonts w:hint="eastAsia" w:ascii="仿宋_GB2312" w:hAnsi="仿宋_GB2312" w:eastAsia="仿宋_GB2312" w:cs="仿宋_GB2312"/>
          <w:sz w:val="32"/>
          <w:szCs w:val="32"/>
        </w:rPr>
        <w:t>与上级医院内分泌科或甲乳外科建立转诊合作关系，明确转诊标准和流程。</w:t>
      </w:r>
    </w:p>
    <w:p w14:paraId="1DC6FE13">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完善转诊资料：</w:t>
      </w:r>
      <w:r>
        <w:rPr>
          <w:rFonts w:hint="eastAsia" w:ascii="仿宋_GB2312" w:hAnsi="仿宋_GB2312" w:eastAsia="仿宋_GB2312" w:cs="仿宋_GB2312"/>
          <w:sz w:val="32"/>
          <w:szCs w:val="32"/>
        </w:rPr>
        <w:t>转诊时应提供详尽的超声报告（最好附关键图像）、患者基本病史及已做的甲状腺功能检查结果。</w:t>
      </w:r>
    </w:p>
    <w:p w14:paraId="1D6C926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患者教育：</w:t>
      </w:r>
      <w:r>
        <w:rPr>
          <w:rFonts w:hint="eastAsia" w:ascii="仿宋_GB2312" w:hAnsi="仿宋_GB2312" w:eastAsia="仿宋_GB2312" w:cs="仿宋_GB2312"/>
          <w:sz w:val="32"/>
          <w:szCs w:val="32"/>
        </w:rPr>
        <w:t>向患者解释FNA的必要性、安全性和局限性（存在一定假阴性率），减轻其恐惧。</w:t>
      </w:r>
    </w:p>
    <w:p w14:paraId="01E5124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六、甲状腺结节的长期随访管理与患者教育</w:t>
      </w:r>
    </w:p>
    <w:p w14:paraId="4BFA7466">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对于绝大多数无需即刻干预的结节，科学的随访是管理的核心。</w:t>
      </w:r>
    </w:p>
    <w:p w14:paraId="625041A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（一）随访间隔与内容</w:t>
      </w:r>
    </w:p>
    <w:p w14:paraId="3BF370EB">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初始超声评估后，决定随访的结节：</w:t>
      </w:r>
    </w:p>
    <w:p w14:paraId="053FCBA1">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良性特征明确（TI-RADS 1-2类）：每1-2年复查超声。</w:t>
      </w:r>
    </w:p>
    <w:p w14:paraId="7B73944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低度可疑（如TI-RADS 3类或4A类）：每6-12个月复查超声，连续2-3次稳定后可延长至1-2年。</w:t>
      </w:r>
    </w:p>
    <w:p w14:paraId="1C0D9D1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中度及以上可疑但未达FNA标准或FNA结果为良性的结节：每6-12个月复查超声。</w:t>
      </w:r>
    </w:p>
    <w:p w14:paraId="514FBDD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随访内容：</w:t>
      </w:r>
      <w:r>
        <w:rPr>
          <w:rFonts w:hint="eastAsia" w:ascii="仿宋_GB2312" w:hAnsi="仿宋_GB2312" w:eastAsia="仿宋_GB2312" w:cs="仿宋_GB2312"/>
          <w:sz w:val="32"/>
          <w:szCs w:val="32"/>
        </w:rPr>
        <w:t>首选超声。对比前后图像，重点评估结节大小、形态、边缘及内部特征的变化。一般不建议常规复查CT或MRI。</w:t>
      </w:r>
    </w:p>
    <w:p w14:paraId="7B32B61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（二）结节变化的处理</w:t>
      </w:r>
    </w:p>
    <w:p w14:paraId="637FCFF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体积稳定或缩小：继续按计划随访。</w:t>
      </w:r>
    </w:p>
    <w:p w14:paraId="395B1C1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体积显著增大（定义同上）：需重新评估超声特征，考虑FNA。</w:t>
      </w:r>
    </w:p>
    <w:p w14:paraId="7750750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出现新的可疑特征：即使大小不变，也应升级随访频率或考虑FNA。</w:t>
      </w:r>
    </w:p>
    <w:p w14:paraId="64A6072C">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（三）基层医生在患者教育中的角色</w:t>
      </w:r>
    </w:p>
    <w:p w14:paraId="506E126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解释良性本质：</w:t>
      </w:r>
      <w:r>
        <w:rPr>
          <w:rFonts w:hint="eastAsia" w:ascii="仿宋_GB2312" w:hAnsi="仿宋_GB2312" w:eastAsia="仿宋_GB2312" w:cs="仿宋_GB2312"/>
          <w:sz w:val="32"/>
          <w:szCs w:val="32"/>
        </w:rPr>
        <w:t>告知患者绝大多数甲状腺结节是良性的，无需焦虑。</w:t>
      </w:r>
    </w:p>
    <w:p w14:paraId="29C4D71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阐明随访意义：</w:t>
      </w:r>
      <w:r>
        <w:rPr>
          <w:rFonts w:hint="eastAsia" w:ascii="仿宋_GB2312" w:hAnsi="仿宋_GB2312" w:eastAsia="仿宋_GB2312" w:cs="仿宋_GB2312"/>
          <w:sz w:val="32"/>
          <w:szCs w:val="32"/>
        </w:rPr>
        <w:t>解释定期复查的目的是监控极少数的变化，如同“定期保养”，而非意味着病情严重。</w:t>
      </w:r>
    </w:p>
    <w:p w14:paraId="7F7BF60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纠正补碘误区：</w:t>
      </w:r>
      <w:r>
        <w:rPr>
          <w:rFonts w:hint="eastAsia" w:ascii="仿宋_GB2312" w:hAnsi="仿宋_GB2312" w:eastAsia="仿宋_GB2312" w:cs="仿宋_GB2312"/>
          <w:sz w:val="32"/>
          <w:szCs w:val="32"/>
        </w:rPr>
        <w:t>明确告知，除非生活在明确缺碘地区，否则常规饮食无需额外补碘，碘过量也可能诱发甲状腺疾病。</w:t>
      </w:r>
    </w:p>
    <w:p w14:paraId="519B3E1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生活方式建议：</w:t>
      </w:r>
      <w:r>
        <w:rPr>
          <w:rFonts w:hint="eastAsia" w:ascii="仿宋_GB2312" w:hAnsi="仿宋_GB2312" w:eastAsia="仿宋_GB2312" w:cs="仿宋_GB2312"/>
          <w:sz w:val="32"/>
          <w:szCs w:val="32"/>
        </w:rPr>
        <w:t>保持均衡饮食，避免长期高碘食物（如海带、紫菜）大量摄入；规律作息，管理情绪压力。</w:t>
      </w:r>
    </w:p>
    <w:p w14:paraId="7E353BC1">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警惕报警症状：</w:t>
      </w:r>
      <w:r>
        <w:rPr>
          <w:rFonts w:hint="eastAsia" w:ascii="仿宋_GB2312" w:hAnsi="仿宋_GB2312" w:eastAsia="仿宋_GB2312" w:cs="仿宋_GB2312"/>
          <w:sz w:val="32"/>
          <w:szCs w:val="32"/>
        </w:rPr>
        <w:t>告知患者若出现结节区域短期内迅速增大、声音嘶哑、吞咽或呼吸困难，应及时就诊。</w:t>
      </w:r>
    </w:p>
    <w:p w14:paraId="58F3555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七、典型病例分析与实战演练</w:t>
      </w:r>
    </w:p>
    <w:p w14:paraId="0A1D91A6">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病例一：中年女性，体检发现甲状腺右叶结节。</w:t>
      </w:r>
    </w:p>
    <w:p w14:paraId="2B6932C5">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超声所见：</w:t>
      </w:r>
      <w:r>
        <w:rPr>
          <w:rFonts w:hint="eastAsia" w:ascii="仿宋_GB2312" w:hAnsi="仿宋_GB2312" w:eastAsia="仿宋_GB2312" w:cs="仿宋_GB2312"/>
          <w:sz w:val="32"/>
          <w:szCs w:val="32"/>
        </w:rPr>
        <w:t>右叶中份一实性结节，大小0.8x0.7x0.9cm（纵横比&gt;1）。呈极低回声，边缘光滑，内可见数个点状强回声（微钙化）。CDFI：内部血流信号较丰富。颈部未见异常淋巴结。</w:t>
      </w:r>
    </w:p>
    <w:p w14:paraId="7DCD828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特征分析：</w:t>
      </w:r>
      <w:r>
        <w:rPr>
          <w:rFonts w:hint="eastAsia" w:ascii="仿宋_GB2312" w:hAnsi="仿宋_GB2312" w:eastAsia="仿宋_GB2312" w:cs="仿宋_GB2312"/>
          <w:sz w:val="32"/>
          <w:szCs w:val="32"/>
        </w:rPr>
        <w:t>实性、极低回声、纵横比&gt;1、微钙化。共4项恶性征象。</w:t>
      </w:r>
    </w:p>
    <w:p w14:paraId="5014B85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风险分层：</w:t>
      </w:r>
      <w:r>
        <w:rPr>
          <w:rFonts w:hint="eastAsia" w:ascii="仿宋_GB2312" w:hAnsi="仿宋_GB2312" w:eastAsia="仿宋_GB2312" w:cs="仿宋_GB2312"/>
          <w:sz w:val="32"/>
          <w:szCs w:val="32"/>
        </w:rPr>
        <w:t>ACR TI-RADS评分：成分2分 + 回声3分 + 形态3分 + 强回声（微钙化）3分 = 11分（TR5）。C-TIRADS：4C类。</w:t>
      </w:r>
    </w:p>
    <w:p w14:paraId="45F129B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处理建议：</w:t>
      </w:r>
      <w:r>
        <w:rPr>
          <w:rFonts w:hint="eastAsia" w:ascii="仿宋_GB2312" w:hAnsi="仿宋_GB2312" w:eastAsia="仿宋_GB2312" w:cs="仿宋_GB2312"/>
          <w:sz w:val="32"/>
          <w:szCs w:val="32"/>
        </w:rPr>
        <w:t>结节虽小（&lt;1cm），但为TR5/4C类，且具有微钙化等高危特征。建议转诊至上级医院行超声引导下FNA。</w:t>
      </w:r>
    </w:p>
    <w:p w14:paraId="4FDB17B8">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学习点：</w:t>
      </w:r>
      <w:r>
        <w:rPr>
          <w:rFonts w:hint="eastAsia" w:ascii="仿宋_GB2312" w:hAnsi="仿宋_GB2312" w:eastAsia="仿宋_GB2312" w:cs="仿宋_GB2312"/>
          <w:sz w:val="32"/>
          <w:szCs w:val="32"/>
        </w:rPr>
        <w:t>对于具有多个高危特征的结节，即使小于1cm，也应积极评估。</w:t>
      </w:r>
    </w:p>
    <w:p w14:paraId="2329C271">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病例二：老年男性，双侧甲状腺多发结节数年，近期无明显变化。</w:t>
      </w:r>
    </w:p>
    <w:p w14:paraId="14151F4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超声所见：</w:t>
      </w:r>
      <w:r>
        <w:rPr>
          <w:rFonts w:hint="eastAsia" w:ascii="仿宋_GB2312" w:hAnsi="仿宋_GB2312" w:eastAsia="仿宋_GB2312" w:cs="仿宋_GB2312"/>
          <w:sz w:val="32"/>
          <w:szCs w:val="32"/>
        </w:rPr>
        <w:t>甲状腺不对称性增大，回声不均，内见多个大小不等结节。最大结节位于左叶，2.5x1.8x2.0cm，呈等回声，形态规则（纵横比&lt;1），边缘光滑，内见粗大钙化伴声影。CDFI：结节周边可见环状血流。颈部未见异常淋巴结。</w:t>
      </w:r>
    </w:p>
    <w:p w14:paraId="095E93E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特征分析：</w:t>
      </w:r>
      <w:r>
        <w:rPr>
          <w:rFonts w:hint="eastAsia" w:ascii="仿宋_GB2312" w:hAnsi="仿宋_GB2312" w:eastAsia="仿宋_GB2312" w:cs="仿宋_GB2312"/>
          <w:sz w:val="32"/>
          <w:szCs w:val="32"/>
        </w:rPr>
        <w:t>最大结节为实性（等回声），但形态规则、边缘光滑、为粗大钙化，无可疑恶性征象。</w:t>
      </w:r>
    </w:p>
    <w:p w14:paraId="0C5DEBD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风险分层：</w:t>
      </w:r>
      <w:r>
        <w:rPr>
          <w:rFonts w:hint="eastAsia" w:ascii="仿宋_GB2312" w:hAnsi="仿宋_GB2312" w:eastAsia="仿宋_GB2312" w:cs="仿宋_GB2312"/>
          <w:sz w:val="32"/>
          <w:szCs w:val="32"/>
        </w:rPr>
        <w:t>ACR TI-RADS评分：成分2分 + 回声1分 + 形态0分 + 强回声（粗钙化）1分 = 4分（TR4）。但因粗大钙化为1分，且无其他高危特征，实际风险较低。可归类为TR3或参照C-TIRADS 3类。</w:t>
      </w:r>
    </w:p>
    <w:p w14:paraId="0A2CD9BE">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处理建议：</w:t>
      </w:r>
      <w:r>
        <w:rPr>
          <w:rFonts w:hint="eastAsia" w:ascii="仿宋_GB2312" w:hAnsi="仿宋_GB2312" w:eastAsia="仿宋_GB2312" w:cs="仿宋_GB2312"/>
          <w:sz w:val="32"/>
          <w:szCs w:val="32"/>
        </w:rPr>
        <w:t>该结节恶性风险低。鉴于&gt;2cm，可考虑转诊FNA以明确诊断，或选择密切随访（6-12个月复查）。需与患者充分沟通选项。</w:t>
      </w:r>
    </w:p>
    <w:p w14:paraId="75AA0A9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学习点：</w:t>
      </w:r>
      <w:r>
        <w:rPr>
          <w:rFonts w:hint="eastAsia" w:ascii="仿宋_GB2312" w:hAnsi="仿宋_GB2312" w:eastAsia="仿宋_GB2312" w:cs="仿宋_GB2312"/>
          <w:sz w:val="32"/>
          <w:szCs w:val="32"/>
        </w:rPr>
        <w:t>在多结节背景下，应评估每一个结节，但仅对最具可疑特征或最大的结节进行决策。粗大钙化多为良性标志。</w:t>
      </w:r>
    </w:p>
    <w:p w14:paraId="17642D8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病例三：青年女性，体检发现甲状腺左叶囊实性结节。</w:t>
      </w:r>
    </w:p>
    <w:p w14:paraId="7933473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超声所见：</w:t>
      </w:r>
      <w:r>
        <w:rPr>
          <w:rFonts w:hint="eastAsia" w:ascii="仿宋_GB2312" w:hAnsi="仿宋_GB2312" w:eastAsia="仿宋_GB2312" w:cs="仿宋_GB2312"/>
          <w:sz w:val="32"/>
          <w:szCs w:val="32"/>
        </w:rPr>
        <w:t>左叶下极一结节，大小1.2x1.0x1.1cm。大部分为囊性，囊壁可见一实性乳头状突起，大小约0.4x0.3cm，该突起呈等回声，形态规则。</w:t>
      </w:r>
    </w:p>
    <w:p w14:paraId="3F400B8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特征分析：</w:t>
      </w:r>
      <w:r>
        <w:rPr>
          <w:rFonts w:hint="eastAsia" w:ascii="仿宋_GB2312" w:hAnsi="仿宋_GB2312" w:eastAsia="仿宋_GB2312" w:cs="仿宋_GB2312"/>
          <w:sz w:val="32"/>
          <w:szCs w:val="32"/>
        </w:rPr>
        <w:t>囊实性，实性成分小且规则，无明显恶性特征。</w:t>
      </w:r>
    </w:p>
    <w:p w14:paraId="17063DE4">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风险分层：</w:t>
      </w:r>
      <w:r>
        <w:rPr>
          <w:rFonts w:hint="eastAsia" w:ascii="仿宋_GB2312" w:hAnsi="仿宋_GB2312" w:eastAsia="仿宋_GB2312" w:cs="仿宋_GB2312"/>
          <w:sz w:val="32"/>
          <w:szCs w:val="32"/>
        </w:rPr>
        <w:t>ACR TI-RADS：可能归为TR3或TR4（取决于实性成分评分）。C-TIRADS：若实性成分无恶性特征，可能归为3类或4A类。</w:t>
      </w:r>
    </w:p>
    <w:p w14:paraId="6581082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处理建议：</w:t>
      </w:r>
      <w:r>
        <w:rPr>
          <w:rFonts w:hint="eastAsia" w:ascii="仿宋_GB2312" w:hAnsi="仿宋_GB2312" w:eastAsia="仿宋_GB2312" w:cs="仿宋_GB2312"/>
          <w:sz w:val="32"/>
          <w:szCs w:val="32"/>
        </w:rPr>
        <w:t>该结节总体风险较低。可建议6-12个月后复查超声，观察实性部分有无变化。若患者焦虑，或实性部分在随访中增大/出现可疑特征，再考虑FNA。</w:t>
      </w:r>
    </w:p>
    <w:p w14:paraId="1C70DBB2">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学习点：</w:t>
      </w:r>
      <w:r>
        <w:rPr>
          <w:rFonts w:hint="eastAsia" w:ascii="仿宋_GB2312" w:hAnsi="仿宋_GB2312" w:eastAsia="仿宋_GB2312" w:cs="仿宋_GB2312"/>
          <w:sz w:val="32"/>
          <w:szCs w:val="32"/>
        </w:rPr>
        <w:t>囊实性结节的风险取决于其实性部分。小而规则的实性成分通常风险低。</w:t>
      </w:r>
    </w:p>
    <w:p w14:paraId="70F8C25A">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八、总结</w:t>
      </w:r>
    </w:p>
    <w:p w14:paraId="1244E871">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状腺结节的超声评估是一项将细致影像观察与系统化风险分析紧密结合的临床技能。对于基层医生而言，目标不是成为独立的甲状腺癌诊断专家，而是掌握规范的扫查方法，准确识别结节的声像图特征，熟练运用一种风险分层系统进行客观分类，并在此基础上做出合理的临床决策：是 reassurance（安慰并常规随访），还是 refer（转诊进一步检查）。</w:t>
      </w:r>
    </w:p>
    <w:p w14:paraId="7895EBB9">
      <w:pPr>
        <w:pStyle w:val="30"/>
        <w:keepNext w:val="0"/>
        <w:keepLines w:val="0"/>
        <w:pageBreakBefore w:val="0"/>
        <w:widowControl w:val="0"/>
        <w:numPr>
          <w:ilvl w:val="0"/>
          <w:numId w:val="4"/>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通过本文的学习，希望基层医生能够：</w:t>
      </w:r>
    </w:p>
    <w:p w14:paraId="2A810CA6">
      <w:pPr>
        <w:pStyle w:val="30"/>
        <w:keepNext w:val="0"/>
        <w:keepLines w:val="0"/>
        <w:pageBreakBefore w:val="0"/>
        <w:widowControl w:val="0"/>
        <w:numPr>
          <w:ilvl w:val="0"/>
          <w:numId w:val="4"/>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建立标准化甲状腺超声扫查流程，不遗漏任何区域和淋巴结。</w:t>
      </w:r>
    </w:p>
    <w:p w14:paraId="33CEFA45">
      <w:pPr>
        <w:pStyle w:val="30"/>
        <w:keepNext w:val="0"/>
        <w:keepLines w:val="0"/>
        <w:pageBreakBefore w:val="0"/>
        <w:widowControl w:val="0"/>
        <w:numPr>
          <w:ilvl w:val="0"/>
          <w:numId w:val="4"/>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准确辨识实性、极低回声、纵横比&gt;1、微钙化、边缘不规则等核心恶性征象。</w:t>
      </w:r>
    </w:p>
    <w:p w14:paraId="26640B39">
      <w:pPr>
        <w:pStyle w:val="30"/>
        <w:keepNext w:val="0"/>
        <w:keepLines w:val="0"/>
        <w:pageBreakBefore w:val="0"/>
        <w:widowControl w:val="0"/>
        <w:numPr>
          <w:ilvl w:val="0"/>
          <w:numId w:val="4"/>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运用TI-RADS系统对结节进行规范化分类与报告。</w:t>
      </w:r>
    </w:p>
    <w:p w14:paraId="670F6199">
      <w:pPr>
        <w:pStyle w:val="30"/>
        <w:keepNext w:val="0"/>
        <w:keepLines w:val="0"/>
        <w:pageBreakBefore w:val="0"/>
        <w:widowControl w:val="0"/>
        <w:numPr>
          <w:ilvl w:val="0"/>
          <w:numId w:val="4"/>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清晰掌握需要转诊行FNA的超声与临床指征。</w:t>
      </w:r>
    </w:p>
    <w:p w14:paraId="542006E5">
      <w:pPr>
        <w:pStyle w:val="30"/>
        <w:keepNext w:val="0"/>
        <w:keepLines w:val="0"/>
        <w:pageBreakBefore w:val="0"/>
        <w:widowControl w:val="0"/>
        <w:numPr>
          <w:ilvl w:val="0"/>
          <w:numId w:val="4"/>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为大量良性结节患者制定并解释科学的随访计划，做好患者教育与沟通。</w:t>
      </w:r>
    </w:p>
    <w:p w14:paraId="25E36811">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最终，在甲状腺结节“海量”发现的今天，基层医生的核心价值在于：用专业的超声技术和风险分层知识，在“过度治疗”与“漏诊延误”之间找到最佳平衡点，让每一位甲状腺结节患者都能得到最恰当、最个体化的管理。</w:t>
      </w:r>
    </w:p>
    <w:p w14:paraId="5BF3A95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p>
    <w:p w14:paraId="2951181D">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p>
    <w:p w14:paraId="21BCFAF7">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p>
    <w:p w14:paraId="790BEB7F">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p>
    <w:p w14:paraId="3FA385D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p>
    <w:p w14:paraId="2948B430">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p>
    <w:p w14:paraId="3270008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360" w:leftChars="0" w:right="0" w:rightChars="0" w:firstLine="321" w:firstLineChars="1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color w:val="000000"/>
          <w:sz w:val="32"/>
          <w:szCs w:val="32"/>
        </w:rPr>
        <w:t>附</w:t>
      </w:r>
      <w:r>
        <w:rPr>
          <w:rFonts w:hint="eastAsia" w:ascii="仿宋_GB2312" w:hAnsi="仿宋_GB2312" w:eastAsia="仿宋_GB2312" w:cs="仿宋_GB2312"/>
          <w:b/>
          <w:bCs/>
          <w:color w:val="000000"/>
          <w:sz w:val="32"/>
          <w:szCs w:val="32"/>
          <w:lang w:eastAsia="zh-CN"/>
        </w:rPr>
        <w:t>测试题（单</w:t>
      </w:r>
      <w:r>
        <w:rPr>
          <w:rFonts w:hint="eastAsia" w:ascii="仿宋_GB2312" w:hAnsi="仿宋_GB2312" w:eastAsia="仿宋_GB2312" w:cs="仿宋_GB2312"/>
          <w:b/>
          <w:bCs/>
          <w:color w:val="000000"/>
          <w:sz w:val="32"/>
          <w:szCs w:val="32"/>
        </w:rPr>
        <w:t>项选择题</w:t>
      </w:r>
      <w:r>
        <w:rPr>
          <w:rFonts w:hint="eastAsia" w:ascii="仿宋_GB2312" w:hAnsi="仿宋_GB2312" w:eastAsia="仿宋_GB2312" w:cs="仿宋_GB2312"/>
          <w:b/>
          <w:bCs/>
          <w:color w:val="000000"/>
          <w:sz w:val="32"/>
          <w:szCs w:val="32"/>
          <w:lang w:val="en-US" w:eastAsia="zh-CN"/>
        </w:rPr>
        <w:t>10道）</w:t>
      </w:r>
      <w:bookmarkStart w:id="0" w:name="_GoBack"/>
      <w:bookmarkEnd w:id="0"/>
    </w:p>
    <w:p w14:paraId="6E80E1C9">
      <w:pPr>
        <w:keepNext w:val="0"/>
        <w:keepLines w:val="0"/>
        <w:pageBreakBefore w:val="0"/>
        <w:widowControl w:val="0"/>
        <w:numPr>
          <w:ilvl w:val="0"/>
          <w:numId w:val="5"/>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甲状腺结节超声评估中，最具特异性的恶性超声征象是：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粗大钙化</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海绵状结构</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微钙化</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周边环状血流</w:t>
      </w:r>
    </w:p>
    <w:p w14:paraId="6162D0AE">
      <w:pPr>
        <w:keepNext w:val="0"/>
        <w:keepLines w:val="0"/>
        <w:pageBreakBefore w:val="0"/>
        <w:widowControl w:val="0"/>
        <w:numPr>
          <w:ilvl w:val="0"/>
          <w:numId w:val="5"/>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根据ACR TI-RADS系统，一个实性、极低回声、纵横比&gt;1且伴有微钙化的结节，最可能被分类为：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TR3</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TR4</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TR5</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TR2</w:t>
      </w:r>
    </w:p>
    <w:p w14:paraId="26EC9C5F">
      <w:pPr>
        <w:keepNext w:val="0"/>
        <w:keepLines w:val="0"/>
        <w:pageBreakBefore w:val="0"/>
        <w:widowControl w:val="0"/>
        <w:numPr>
          <w:ilvl w:val="0"/>
          <w:numId w:val="5"/>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甲状腺结节超声检查时，必须常规扫查的区域是：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仅甲状腺本身</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甲状腺及颈部淋巴结</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甲状腺及腮腺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甲状腺及颌下腺</w:t>
      </w:r>
    </w:p>
    <w:p w14:paraId="5E37B756">
      <w:pPr>
        <w:keepNext w:val="0"/>
        <w:keepLines w:val="0"/>
        <w:pageBreakBefore w:val="0"/>
        <w:widowControl w:val="0"/>
        <w:numPr>
          <w:ilvl w:val="0"/>
          <w:numId w:val="5"/>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对于超声表现为纯囊性的甲状腺结节，常规处理建议是：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立即细针穿刺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短期（3个月）复查</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常规年度随访或无需特殊随访</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直接建议手术</w:t>
      </w:r>
    </w:p>
    <w:p w14:paraId="1A813B61">
      <w:pPr>
        <w:keepNext w:val="0"/>
        <w:keepLines w:val="0"/>
        <w:pageBreakBefore w:val="0"/>
        <w:widowControl w:val="0"/>
        <w:numPr>
          <w:ilvl w:val="0"/>
          <w:numId w:val="5"/>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甲状腺结节“纵横比&gt;1”是指在哪个切面上进行测量判断？</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纵切面</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横切面</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斜切面</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任何切面</w:t>
      </w:r>
    </w:p>
    <w:p w14:paraId="6ACFC99C">
      <w:pPr>
        <w:keepNext w:val="0"/>
        <w:keepLines w:val="0"/>
        <w:pageBreakBefore w:val="0"/>
        <w:widowControl w:val="0"/>
        <w:numPr>
          <w:ilvl w:val="0"/>
          <w:numId w:val="5"/>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在甲状腺结节随访中，提示需要积极干预（如穿刺）的“显著增大”标准通常是指：</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结节最大径线增加&gt;5%</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结节体积增加&gt;50%或至少两个径线增加&gt;20%</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结节任何径线增加&gt;1mm</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结节出现任何新发囊性变</w:t>
      </w:r>
    </w:p>
    <w:p w14:paraId="4076498D">
      <w:pPr>
        <w:keepNext w:val="0"/>
        <w:keepLines w:val="0"/>
        <w:pageBreakBefore w:val="0"/>
        <w:widowControl w:val="0"/>
        <w:numPr>
          <w:ilvl w:val="0"/>
          <w:numId w:val="5"/>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细针穿刺活检（FNA）的主要目的是：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治疗甲状腺结节</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术前明确结节的良恶性</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缩小结节体积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替代超声检查</w:t>
      </w:r>
    </w:p>
    <w:p w14:paraId="14F08503">
      <w:pPr>
        <w:keepNext w:val="0"/>
        <w:keepLines w:val="0"/>
        <w:pageBreakBefore w:val="0"/>
        <w:widowControl w:val="0"/>
        <w:numPr>
          <w:ilvl w:val="0"/>
          <w:numId w:val="5"/>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对于多数确诊的良性甲状腺结节，首选的长期管理方式是：</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放射性碘治疗</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定期超声随访</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终身服用甲状腺素抑制治疗</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预防性手术切除</w:t>
      </w:r>
    </w:p>
    <w:p w14:paraId="6A2B6EF2">
      <w:pPr>
        <w:keepNext w:val="0"/>
        <w:keepLines w:val="0"/>
        <w:pageBreakBefore w:val="0"/>
        <w:widowControl w:val="0"/>
        <w:numPr>
          <w:ilvl w:val="0"/>
          <w:numId w:val="5"/>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患者，女，35岁，发现甲状腺单发实性结节，1.0x0.8x0.9cm，等回声，形态规则，边缘光滑，内无钙化。根据C-TIRADS，该结节最可能分类为：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3类</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4A类</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4B类</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5类</w:t>
      </w:r>
    </w:p>
    <w:p w14:paraId="6CAAC360">
      <w:pPr>
        <w:keepNext w:val="0"/>
        <w:keepLines w:val="0"/>
        <w:pageBreakBefore w:val="0"/>
        <w:widowControl w:val="0"/>
        <w:numPr>
          <w:ilvl w:val="0"/>
          <w:numId w:val="5"/>
        </w:numPr>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基层医生在甲状腺结节管理中最关键的作用不包括：</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A. 进行规范的超声初筛与特征描述</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B. 对所有结节进行细针穿刺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C. 运用风险分层系统指导临床决策</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D. 对良性结节患者进行教育与安排随访</w:t>
      </w:r>
    </w:p>
    <w:sectPr>
      <w:pgSz w:w="11906" w:h="16838"/>
      <w:pgMar w:top="1814" w:right="1587"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F766A2"/>
    <w:multiLevelType w:val="multilevel"/>
    <w:tmpl w:val="23F766A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3E034C63"/>
    <w:multiLevelType w:val="multilevel"/>
    <w:tmpl w:val="3E034C63"/>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69A35FA2"/>
    <w:multiLevelType w:val="multilevel"/>
    <w:tmpl w:val="69A35FA2"/>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6B8939CA"/>
    <w:multiLevelType w:val="multilevel"/>
    <w:tmpl w:val="6B8939CA"/>
    <w:lvl w:ilvl="0" w:tentative="0">
      <w:start w:val="1"/>
      <w:numFmt w:val="decimal"/>
      <w:lvlText w:val="%1."/>
      <w:lvlJc w:val="left"/>
      <w:pPr>
        <w:ind w:left="440" w:hanging="440"/>
      </w:pPr>
      <w:rPr>
        <w:rFonts w:hint="eastAsia"/>
        <w:spacing w:val="-2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6FA96EEB"/>
    <w:multiLevelType w:val="multilevel"/>
    <w:tmpl w:val="6FA96EEB"/>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5616B"/>
    <w:rsid w:val="00032A85"/>
    <w:rsid w:val="000719C6"/>
    <w:rsid w:val="001557F6"/>
    <w:rsid w:val="0015616B"/>
    <w:rsid w:val="00350F42"/>
    <w:rsid w:val="00382D85"/>
    <w:rsid w:val="00504AC8"/>
    <w:rsid w:val="00521EBC"/>
    <w:rsid w:val="00680AD4"/>
    <w:rsid w:val="006C7A8D"/>
    <w:rsid w:val="00763179"/>
    <w:rsid w:val="007D45D6"/>
    <w:rsid w:val="007E6DAF"/>
    <w:rsid w:val="00813A44"/>
    <w:rsid w:val="00897275"/>
    <w:rsid w:val="00A00B3E"/>
    <w:rsid w:val="00AA2A4A"/>
    <w:rsid w:val="00B12144"/>
    <w:rsid w:val="00B16F77"/>
    <w:rsid w:val="00D617B9"/>
    <w:rsid w:val="00D92F8E"/>
    <w:rsid w:val="00DE29D9"/>
    <w:rsid w:val="00EE4737"/>
    <w:rsid w:val="00FA5969"/>
    <w:rsid w:val="08FC0BC0"/>
    <w:rsid w:val="1EF42074"/>
    <w:rsid w:val="51CC4711"/>
    <w:rsid w:val="65277EE5"/>
    <w:rsid w:val="75544359"/>
    <w:rsid w:val="7E553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36609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36609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36609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36609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36609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36609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36609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36609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366091" w:themeColor="accent1" w:themeShade="BF"/>
      <w:sz w:val="32"/>
      <w:szCs w:val="32"/>
    </w:rPr>
  </w:style>
  <w:style w:type="character" w:customStyle="1" w:styleId="20">
    <w:name w:val="标题 4 字符"/>
    <w:basedOn w:val="16"/>
    <w:link w:val="5"/>
    <w:semiHidden/>
    <w:qFormat/>
    <w:uiPriority w:val="9"/>
    <w:rPr>
      <w:rFonts w:cstheme="majorBidi"/>
      <w:color w:val="366091" w:themeColor="accent1" w:themeShade="BF"/>
      <w:sz w:val="28"/>
      <w:szCs w:val="28"/>
    </w:rPr>
  </w:style>
  <w:style w:type="character" w:customStyle="1" w:styleId="21">
    <w:name w:val="标题 5 字符"/>
    <w:basedOn w:val="16"/>
    <w:link w:val="6"/>
    <w:semiHidden/>
    <w:qFormat/>
    <w:uiPriority w:val="9"/>
    <w:rPr>
      <w:rFonts w:cstheme="majorBidi"/>
      <w:color w:val="366091" w:themeColor="accent1" w:themeShade="BF"/>
      <w:sz w:val="24"/>
      <w:szCs w:val="24"/>
    </w:rPr>
  </w:style>
  <w:style w:type="character" w:customStyle="1" w:styleId="22">
    <w:name w:val="标题 6 字符"/>
    <w:basedOn w:val="16"/>
    <w:link w:val="7"/>
    <w:semiHidden/>
    <w:qFormat/>
    <w:uiPriority w:val="9"/>
    <w:rPr>
      <w:rFonts w:cstheme="majorBidi"/>
      <w:b/>
      <w:bCs/>
      <w:color w:val="36609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366091" w:themeColor="accent1" w:themeShade="BF"/>
    </w:rPr>
  </w:style>
  <w:style w:type="paragraph" w:styleId="32">
    <w:name w:val="Intense Quote"/>
    <w:basedOn w:val="1"/>
    <w:next w:val="1"/>
    <w:link w:val="33"/>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66091" w:themeColor="accent1" w:themeShade="BF"/>
    </w:rPr>
  </w:style>
  <w:style w:type="character" w:customStyle="1" w:styleId="33">
    <w:name w:val="明显引用 字符"/>
    <w:basedOn w:val="16"/>
    <w:link w:val="32"/>
    <w:qFormat/>
    <w:uiPriority w:val="30"/>
    <w:rPr>
      <w:i/>
      <w:iCs/>
      <w:color w:val="366091" w:themeColor="accent1" w:themeShade="BF"/>
    </w:rPr>
  </w:style>
  <w:style w:type="character" w:customStyle="1" w:styleId="34">
    <w:name w:val="Intense Reference"/>
    <w:basedOn w:val="16"/>
    <w:qFormat/>
    <w:uiPriority w:val="32"/>
    <w:rPr>
      <w:b/>
      <w:bCs/>
      <w:smallCaps/>
      <w:color w:val="36609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16</Pages>
  <Words>5500</Words>
  <Characters>5986</Characters>
  <Lines>50</Lines>
  <Paragraphs>14</Paragraphs>
  <TotalTime>0</TotalTime>
  <ScaleCrop>false</ScaleCrop>
  <LinksUpToDate>false</LinksUpToDate>
  <CharactersWithSpaces>6043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2026-02-10T14:57:00Z</dcterms:created>
  <dc:creator>a91679</dc:creator>
  <cp:lastModifiedBy>轻舞飞扬</cp:lastModifiedBy>
  <dcterms:modified xsi:type="dcterms:W3CDTF">2026-07-07T07:52:07Z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eyJoZGlkIjoiODBmNTMzZjkzYzI0YjY0ZTVkNDZkMTM4NTY2ZGEwNjciLCJ1c2VySWQiOiI1OTU4NDk1MTUifQ==</vt:lpwstr>
  </property>
  <property fmtid="{D5CDD505-2E9C-101B-9397-08002B2CF9AE}" pid="3" name="KSOProductBuildVer">
    <vt:lpwstr>2052-12.1.0.26895</vt:lpwstr>
  </property>
  <property fmtid="{D5CDD505-2E9C-101B-9397-08002B2CF9AE}" pid="4" name="ICV">
    <vt:lpwstr>02C02A51A43D41B49BB6271AC6A1DA4B_12</vt:lpwstr>
  </property>
</Properties>
</file>